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C4" w:rsidRDefault="008515C4" w:rsidP="008515C4">
      <w:pPr>
        <w:rPr>
          <w:rFonts w:cs="Arial"/>
          <w:b/>
          <w:bCs/>
        </w:rPr>
      </w:pPr>
    </w:p>
    <w:p w:rsidR="00575ADA" w:rsidRPr="007D0228" w:rsidRDefault="00575ADA" w:rsidP="00575ADA">
      <w:pPr>
        <w:contextualSpacing/>
        <w:jc w:val="center"/>
        <w:rPr>
          <w:rFonts w:cs="Arial"/>
          <w:b/>
          <w:bCs/>
        </w:rPr>
      </w:pPr>
      <w:r w:rsidRPr="007D0228">
        <w:rPr>
          <w:rFonts w:cs="Arial"/>
          <w:b/>
        </w:rPr>
        <w:t>Self-</w:t>
      </w:r>
      <w:r>
        <w:rPr>
          <w:rFonts w:cs="Arial"/>
          <w:b/>
        </w:rPr>
        <w:t>Reflection</w:t>
      </w:r>
      <w:r w:rsidRPr="007D0228">
        <w:rPr>
          <w:rFonts w:cs="Arial"/>
          <w:b/>
        </w:rPr>
        <w:t xml:space="preserve"> Tool for </w:t>
      </w:r>
      <w:r w:rsidRPr="007D0228">
        <w:rPr>
          <w:rFonts w:cs="Arial"/>
          <w:b/>
          <w:bCs/>
        </w:rPr>
        <w:t>Implementation of State</w:t>
      </w:r>
    </w:p>
    <w:p w:rsidR="00575ADA" w:rsidRPr="009971A1" w:rsidRDefault="00575ADA" w:rsidP="009971A1">
      <w:pPr>
        <w:pStyle w:val="Header"/>
        <w:contextualSpacing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Academic Standards </w:t>
      </w:r>
      <w:r>
        <w:rPr>
          <w:rFonts w:cs="Arial"/>
          <w:b/>
          <w:bCs/>
        </w:rPr>
        <w:softHyphen/>
        <w:t xml:space="preserve">– </w:t>
      </w:r>
      <w:r>
        <w:rPr>
          <w:rFonts w:cs="Arial"/>
          <w:b/>
        </w:rPr>
        <w:t>Priority 2</w:t>
      </w:r>
    </w:p>
    <w:p w:rsidR="009971A1" w:rsidRPr="007D0228" w:rsidRDefault="009971A1" w:rsidP="009971A1">
      <w:pPr>
        <w:pStyle w:val="Header"/>
        <w:contextualSpacing/>
        <w:jc w:val="center"/>
        <w:rPr>
          <w:b/>
        </w:rPr>
      </w:pPr>
    </w:p>
    <w:p w:rsidR="009971A1" w:rsidRDefault="009971A1" w:rsidP="009971A1">
      <w:pPr>
        <w:contextualSpacing/>
        <w:rPr>
          <w:rFonts w:eastAsia="Calibri" w:cs="Arial"/>
          <w:bCs/>
        </w:rPr>
      </w:pPr>
      <w:r w:rsidRPr="00C05FC1">
        <w:rPr>
          <w:rFonts w:eastAsia="Calibri" w:cs="Arial"/>
          <w:bCs/>
          <w:i/>
        </w:rPr>
        <w:t>Standard</w:t>
      </w:r>
      <w:r w:rsidRPr="00AB450B">
        <w:rPr>
          <w:rFonts w:eastAsia="Calibri" w:cs="Arial"/>
          <w:bCs/>
        </w:rPr>
        <w:t>: LEA annually measures its progress implementing state academic</w:t>
      </w:r>
      <w:r>
        <w:rPr>
          <w:rFonts w:eastAsia="Calibri" w:cs="Arial"/>
          <w:bCs/>
        </w:rPr>
        <w:t xml:space="preserve"> </w:t>
      </w:r>
      <w:r w:rsidRPr="00AB450B">
        <w:rPr>
          <w:rFonts w:eastAsia="Calibri" w:cs="Arial"/>
          <w:bCs/>
        </w:rPr>
        <w:t>standards and reports the results to its local governing board</w:t>
      </w:r>
      <w:r>
        <w:rPr>
          <w:rFonts w:eastAsia="Calibri" w:cs="Arial"/>
          <w:bCs/>
        </w:rPr>
        <w:t xml:space="preserve"> </w:t>
      </w:r>
      <w:r w:rsidRPr="00396167">
        <w:rPr>
          <w:bCs/>
          <w:iCs/>
        </w:rPr>
        <w:t>at a regularly scheduled meeting of the local governing board</w:t>
      </w:r>
      <w:r w:rsidRPr="00AB450B">
        <w:rPr>
          <w:rFonts w:eastAsia="Calibri" w:cs="Arial"/>
          <w:bCs/>
        </w:rPr>
        <w:t xml:space="preserve"> and to stakeholders and the public through the evaluation rubrics.  </w:t>
      </w:r>
    </w:p>
    <w:p w:rsidR="009971A1" w:rsidRPr="00AB450B" w:rsidRDefault="009971A1" w:rsidP="009971A1">
      <w:pPr>
        <w:contextualSpacing/>
        <w:rPr>
          <w:rFonts w:eastAsia="Calibri" w:cs="Arial"/>
          <w:bCs/>
        </w:rPr>
      </w:pPr>
    </w:p>
    <w:p w:rsidR="009971A1" w:rsidRDefault="009971A1" w:rsidP="009971A1">
      <w:pPr>
        <w:contextualSpacing/>
        <w:rPr>
          <w:rFonts w:eastAsia="Calibri" w:cs="Arial"/>
          <w:bCs/>
        </w:rPr>
      </w:pPr>
      <w:r w:rsidRPr="00C05FC1">
        <w:rPr>
          <w:rFonts w:eastAsia="Calibri" w:cs="Arial"/>
          <w:bCs/>
          <w:i/>
        </w:rPr>
        <w:t>Criteria</w:t>
      </w:r>
      <w:r w:rsidRPr="00AB450B">
        <w:rPr>
          <w:rFonts w:eastAsia="Calibri" w:cs="Arial"/>
          <w:bCs/>
        </w:rPr>
        <w:t>: LEA would assess its performance on a [</w:t>
      </w:r>
      <w:r w:rsidRPr="00E87A28">
        <w:rPr>
          <w:rFonts w:eastAsia="Calibri" w:cs="Arial"/>
          <w:bCs/>
          <w:i/>
        </w:rPr>
        <w:t>Met / Not Met / Not Met for Two or More Years</w:t>
      </w:r>
      <w:r w:rsidRPr="00AB450B">
        <w:rPr>
          <w:rFonts w:eastAsia="Calibri" w:cs="Arial"/>
          <w:bCs/>
        </w:rPr>
        <w:t>] scale.</w:t>
      </w:r>
    </w:p>
    <w:p w:rsidR="009971A1" w:rsidRDefault="009971A1" w:rsidP="009971A1">
      <w:pPr>
        <w:contextualSpacing/>
        <w:rPr>
          <w:rFonts w:eastAsia="Calibri" w:cs="Arial"/>
          <w:bCs/>
        </w:rPr>
      </w:pPr>
    </w:p>
    <w:p w:rsidR="009971A1" w:rsidRDefault="009971A1" w:rsidP="009971A1">
      <w:pPr>
        <w:contextualSpacing/>
        <w:rPr>
          <w:rFonts w:eastAsia="Calibri" w:cs="Arial"/>
          <w:bCs/>
        </w:rPr>
      </w:pPr>
      <w:r w:rsidRPr="00C05FC1">
        <w:rPr>
          <w:rFonts w:eastAsia="Calibri" w:cs="Arial"/>
          <w:bCs/>
          <w:i/>
        </w:rPr>
        <w:t>Evidence</w:t>
      </w:r>
      <w:r w:rsidRPr="00AB450B">
        <w:rPr>
          <w:rFonts w:eastAsia="Calibri" w:cs="Arial"/>
          <w:bCs/>
        </w:rPr>
        <w:t xml:space="preserve">: </w:t>
      </w:r>
      <w:r w:rsidRPr="008D6CDF">
        <w:rPr>
          <w:rFonts w:eastAsia="Calibri" w:cs="Arial"/>
          <w:bCs/>
        </w:rPr>
        <w:t xml:space="preserve">LEA </w:t>
      </w:r>
      <w:r w:rsidRPr="001D1798">
        <w:t>measure</w:t>
      </w:r>
      <w:r>
        <w:t>s</w:t>
      </w:r>
      <w:r w:rsidRPr="001D1798">
        <w:t xml:space="preserve"> its progress</w:t>
      </w:r>
      <w:r>
        <w:t xml:space="preserve"> using the</w:t>
      </w:r>
      <w:r w:rsidRPr="008D6CDF">
        <w:rPr>
          <w:rFonts w:eastAsia="Calibri" w:cs="Arial"/>
          <w:bCs/>
        </w:rPr>
        <w:t xml:space="preserve"> self-reflection tool included in the evaluation rubrics, and reports the results to its local governing board </w:t>
      </w:r>
      <w:r w:rsidRPr="00396167">
        <w:rPr>
          <w:bCs/>
          <w:iCs/>
        </w:rPr>
        <w:t>at a regularly scheduled meeting</w:t>
      </w:r>
      <w:r>
        <w:rPr>
          <w:bCs/>
          <w:iCs/>
        </w:rPr>
        <w:t xml:space="preserve"> </w:t>
      </w:r>
      <w:r w:rsidRPr="008D6CDF">
        <w:rPr>
          <w:rFonts w:eastAsia="Calibri" w:cs="Arial"/>
          <w:bCs/>
        </w:rPr>
        <w:t>and through the local data selection option in the evaluation rubrics</w:t>
      </w:r>
      <w:r>
        <w:rPr>
          <w:rFonts w:eastAsia="Calibri" w:cs="Arial"/>
          <w:bCs/>
        </w:rPr>
        <w:t xml:space="preserve"> web-based system</w:t>
      </w:r>
      <w:r w:rsidRPr="008D6CDF">
        <w:rPr>
          <w:rFonts w:eastAsia="Calibri" w:cs="Arial"/>
          <w:bCs/>
        </w:rPr>
        <w:t>.</w:t>
      </w:r>
      <w:r w:rsidRPr="004468D7">
        <w:t xml:space="preserve"> </w:t>
      </w:r>
    </w:p>
    <w:p w:rsidR="009971A1" w:rsidRDefault="009971A1" w:rsidP="009971A1">
      <w:pPr>
        <w:contextualSpacing/>
        <w:rPr>
          <w:b/>
          <w:i/>
        </w:rPr>
      </w:pPr>
    </w:p>
    <w:p w:rsidR="009971A1" w:rsidRDefault="009971A1" w:rsidP="009971A1">
      <w:pPr>
        <w:contextualSpacing/>
        <w:rPr>
          <w:b/>
          <w:i/>
        </w:rPr>
      </w:pPr>
    </w:p>
    <w:p w:rsidR="009971A1" w:rsidRPr="00396167" w:rsidRDefault="009971A1" w:rsidP="009971A1">
      <w:pPr>
        <w:contextualSpacing/>
        <w:rPr>
          <w:b/>
          <w:i/>
        </w:rPr>
      </w:pPr>
      <w:r>
        <w:rPr>
          <w:b/>
          <w:i/>
        </w:rPr>
        <w:t>Approach for Self-Reflection Tool to Use as Evidence</w:t>
      </w:r>
      <w:r w:rsidDel="00731CF2">
        <w:rPr>
          <w:b/>
          <w:i/>
        </w:rPr>
        <w:t xml:space="preserve"> </w:t>
      </w:r>
    </w:p>
    <w:p w:rsidR="009971A1" w:rsidRDefault="009971A1" w:rsidP="009971A1">
      <w:pPr>
        <w:contextualSpacing/>
      </w:pPr>
    </w:p>
    <w:p w:rsidR="009971A1" w:rsidRPr="007B304E" w:rsidRDefault="009971A1" w:rsidP="009971A1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  <w:r>
        <w:t xml:space="preserve">LEAs may provide a narrative summary of their progress in the implementation of state academic standards based on locally selected measures or tools (Option 1).  Alternatively, LEAs may complete </w:t>
      </w:r>
      <w:r>
        <w:rPr>
          <w:rFonts w:eastAsia="Calibri" w:cs="Arial"/>
          <w:bCs/>
        </w:rPr>
        <w:t xml:space="preserve">the </w:t>
      </w:r>
      <w:r w:rsidRPr="00BC7A7B">
        <w:rPr>
          <w:rFonts w:eastAsia="Calibri"/>
          <w:i/>
        </w:rPr>
        <w:t>optional</w:t>
      </w:r>
      <w:r>
        <w:rPr>
          <w:rFonts w:eastAsia="Calibri" w:cs="Arial"/>
          <w:bCs/>
        </w:rPr>
        <w:t xml:space="preserve"> reflection tool (Option 2).  </w:t>
      </w:r>
    </w:p>
    <w:p w:rsidR="009971A1" w:rsidRDefault="009971A1" w:rsidP="009971A1">
      <w:pPr>
        <w:contextualSpacing/>
        <w:rPr>
          <w:rFonts w:eastAsia="Calibri" w:cs="Arial"/>
          <w:b/>
          <w:bCs/>
          <w:i/>
        </w:rPr>
      </w:pPr>
    </w:p>
    <w:p w:rsidR="009971A1" w:rsidRDefault="009971A1" w:rsidP="009971A1">
      <w:pPr>
        <w:contextualSpacing/>
        <w:rPr>
          <w:rFonts w:eastAsia="Calibri" w:cs="Arial"/>
          <w:b/>
          <w:bCs/>
          <w:i/>
        </w:rPr>
      </w:pPr>
    </w:p>
    <w:p w:rsidR="009971A1" w:rsidRDefault="009971A1" w:rsidP="009971A1">
      <w:pPr>
        <w:contextualSpacing/>
      </w:pPr>
      <w:r>
        <w:rPr>
          <w:rFonts w:eastAsia="Calibri" w:cs="Arial"/>
          <w:b/>
          <w:bCs/>
          <w:i/>
        </w:rPr>
        <w:t>OPTION 1: Narrative Summary</w:t>
      </w:r>
    </w:p>
    <w:p w:rsidR="009971A1" w:rsidRDefault="009971A1" w:rsidP="009971A1">
      <w:pPr>
        <w:contextualSpacing/>
      </w:pPr>
      <w:r>
        <w:t xml:space="preserve">In the narrative box, identify the locally selected measures or tools that the LEA is using to track its progress in implementing the state </w:t>
      </w:r>
      <w:r w:rsidRPr="00E6265D">
        <w:t>academic standards adopted by the state board</w:t>
      </w:r>
      <w:r>
        <w:t xml:space="preserve"> and briefly describe why the LEA chose the selected measures or tools.  </w:t>
      </w:r>
    </w:p>
    <w:p w:rsidR="009971A1" w:rsidRDefault="009971A1" w:rsidP="009971A1">
      <w:pPr>
        <w:contextualSpacing/>
      </w:pPr>
    </w:p>
    <w:p w:rsidR="009971A1" w:rsidRDefault="009971A1" w:rsidP="009971A1">
      <w:pPr>
        <w:contextualSpacing/>
      </w:pPr>
      <w:r>
        <w:t xml:space="preserve">Additionally, summarize the LEA’s progress in implementing the </w:t>
      </w:r>
      <w:r w:rsidRPr="00E6265D">
        <w:t>academic standards</w:t>
      </w:r>
      <w:r>
        <w:t xml:space="preserve"> adopted by the State Board of Education, based on the locally selected measures or tools.  The adopted academic standards are: </w:t>
      </w:r>
    </w:p>
    <w:p w:rsidR="009971A1" w:rsidRPr="001310B4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English Language Arts</w:t>
      </w:r>
      <w:r>
        <w:rPr>
          <w:rFonts w:eastAsia="Calibri"/>
        </w:rPr>
        <w:t xml:space="preserve"> (ELA)</w:t>
      </w:r>
      <w:r w:rsidRPr="001310B4">
        <w:rPr>
          <w:rFonts w:eastAsia="Calibri"/>
        </w:rPr>
        <w:t xml:space="preserve"> – Common Core State Standards for </w:t>
      </w:r>
      <w:r>
        <w:rPr>
          <w:rFonts w:eastAsia="Calibri"/>
        </w:rPr>
        <w:t>ELA</w:t>
      </w:r>
    </w:p>
    <w:p w:rsidR="009971A1" w:rsidRPr="004F499C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English Language Development</w:t>
      </w:r>
      <w:r>
        <w:rPr>
          <w:rFonts w:eastAsia="Calibri"/>
        </w:rPr>
        <w:t xml:space="preserve"> (ELD) (Aligned to Common Core State Standards for ELA )</w:t>
      </w:r>
    </w:p>
    <w:p w:rsidR="009971A1" w:rsidRPr="001310B4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Mathematics – Common Core State Standards for Mathematics</w:t>
      </w:r>
    </w:p>
    <w:p w:rsidR="009971A1" w:rsidRPr="004F499C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Next Generation Science Standards</w:t>
      </w:r>
    </w:p>
    <w:p w:rsidR="009971A1" w:rsidRPr="004F499C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History-Social Science</w:t>
      </w:r>
    </w:p>
    <w:p w:rsidR="009971A1" w:rsidRPr="001310B4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Career Technical Education</w:t>
      </w:r>
    </w:p>
    <w:p w:rsidR="009971A1" w:rsidRPr="001310B4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Health Education Content Standards</w:t>
      </w:r>
    </w:p>
    <w:p w:rsidR="009971A1" w:rsidRPr="001310B4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Physical Education Model Content Standards</w:t>
      </w:r>
    </w:p>
    <w:p w:rsidR="009971A1" w:rsidRPr="001310B4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Visual and Performing Arts</w:t>
      </w:r>
    </w:p>
    <w:p w:rsidR="009971A1" w:rsidRPr="001310B4" w:rsidRDefault="009971A1" w:rsidP="009971A1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</w:rPr>
      </w:pPr>
      <w:r w:rsidRPr="001310B4">
        <w:rPr>
          <w:rFonts w:eastAsia="Calibri"/>
        </w:rPr>
        <w:t>World Language</w:t>
      </w:r>
    </w:p>
    <w:p w:rsidR="009971A1" w:rsidRPr="003A1355" w:rsidRDefault="009971A1" w:rsidP="009971A1">
      <w:pPr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69215</wp:posOffset>
                </wp:positionV>
                <wp:extent cx="5452745" cy="659765"/>
                <wp:effectExtent l="9525" t="11430" r="5080" b="50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A1" w:rsidRDefault="009971A1" w:rsidP="009971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pt;margin-top:5.45pt;width:429.35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">
                <v:textbox>
                  <w:txbxContent>
                    <w:p w:rsidR="009971A1" w:rsidRDefault="009971A1" w:rsidP="009971A1"/>
                  </w:txbxContent>
                </v:textbox>
                <w10:wrap type="square"/>
              </v:shape>
            </w:pict>
          </mc:Fallback>
        </mc:AlternateContent>
      </w:r>
    </w:p>
    <w:p w:rsidR="009971A1" w:rsidRPr="00BF6CE2" w:rsidRDefault="009971A1" w:rsidP="009971A1">
      <w:pPr>
        <w:contextualSpacing/>
        <w:rPr>
          <w:rFonts w:eastAsia="Calibri" w:cs="Arial"/>
          <w:bCs/>
        </w:rPr>
      </w:pPr>
    </w:p>
    <w:p w:rsidR="009971A1" w:rsidRDefault="009971A1" w:rsidP="009971A1">
      <w:pPr>
        <w:contextualSpacing/>
        <w:rPr>
          <w:rFonts w:eastAsia="Calibri" w:cs="Arial"/>
          <w:b/>
          <w:bCs/>
          <w:i/>
        </w:rPr>
      </w:pPr>
    </w:p>
    <w:p w:rsidR="009971A1" w:rsidRDefault="009971A1" w:rsidP="009971A1">
      <w:pPr>
        <w:contextualSpacing/>
        <w:rPr>
          <w:rFonts w:eastAsia="Calibri" w:cs="Arial"/>
          <w:b/>
          <w:bCs/>
          <w:i/>
        </w:rPr>
      </w:pPr>
    </w:p>
    <w:p w:rsidR="009971A1" w:rsidRDefault="009971A1" w:rsidP="009971A1">
      <w:pPr>
        <w:contextualSpacing/>
        <w:rPr>
          <w:rFonts w:eastAsia="Calibri" w:cs="Arial"/>
          <w:b/>
          <w:bCs/>
          <w:i/>
        </w:rPr>
      </w:pPr>
      <w:r>
        <w:rPr>
          <w:rFonts w:eastAsia="Calibri" w:cs="Arial"/>
          <w:b/>
          <w:bCs/>
          <w:i/>
        </w:rPr>
        <w:br w:type="page"/>
      </w:r>
      <w:r>
        <w:rPr>
          <w:rFonts w:eastAsia="Calibri" w:cs="Arial"/>
          <w:b/>
          <w:bCs/>
          <w:i/>
        </w:rPr>
        <w:lastRenderedPageBreak/>
        <w:t xml:space="preserve">OPTION 2: </w:t>
      </w:r>
      <w:r w:rsidRPr="002F7AC2">
        <w:rPr>
          <w:rFonts w:eastAsia="Calibri" w:cs="Arial"/>
          <w:b/>
          <w:bCs/>
          <w:i/>
        </w:rPr>
        <w:t>Reflection Tool</w:t>
      </w:r>
    </w:p>
    <w:p w:rsidR="009971A1" w:rsidRPr="00BC7A7B" w:rsidRDefault="009971A1" w:rsidP="009971A1">
      <w:pPr>
        <w:contextualSpacing/>
        <w:rPr>
          <w:rFonts w:eastAsia="Calibri"/>
        </w:rPr>
      </w:pPr>
    </w:p>
    <w:p w:rsidR="009971A1" w:rsidRPr="00E46846" w:rsidRDefault="009971A1" w:rsidP="009971A1">
      <w:pPr>
        <w:contextualSpacing/>
        <w:rPr>
          <w:rFonts w:ascii="Calibri" w:eastAsia="Calibri" w:hAnsi="Calibri" w:cs="Arial"/>
          <w:b/>
          <w:bCs/>
          <w:sz w:val="20"/>
          <w:szCs w:val="20"/>
        </w:rPr>
      </w:pPr>
      <w:r w:rsidRPr="00E46846">
        <w:rPr>
          <w:rFonts w:ascii="Calibri" w:eastAsia="Calibri" w:hAnsi="Calibri" w:cs="Arial"/>
          <w:b/>
          <w:bCs/>
          <w:sz w:val="20"/>
          <w:szCs w:val="20"/>
        </w:rPr>
        <w:t>Recently Adopted Academic Standards</w:t>
      </w:r>
      <w:r>
        <w:rPr>
          <w:rFonts w:ascii="Calibri" w:eastAsia="Calibri" w:hAnsi="Calibri" w:cs="Arial"/>
          <w:b/>
          <w:bCs/>
          <w:sz w:val="20"/>
          <w:szCs w:val="20"/>
        </w:rPr>
        <w:t xml:space="preserve"> and/or Curriculum Frameworks</w:t>
      </w:r>
    </w:p>
    <w:p w:rsidR="009971A1" w:rsidRPr="00BC7A7B" w:rsidRDefault="009971A1" w:rsidP="009971A1">
      <w:pPr>
        <w:contextualSpacing/>
        <w:rPr>
          <w:rFonts w:eastAsia="Calibri"/>
        </w:rPr>
      </w:pPr>
    </w:p>
    <w:p w:rsidR="009971A1" w:rsidRPr="005E32EC" w:rsidRDefault="009971A1" w:rsidP="009971A1">
      <w:pPr>
        <w:numPr>
          <w:ilvl w:val="0"/>
          <w:numId w:val="8"/>
        </w:numPr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 xml:space="preserve">Rate the LEA’s </w:t>
      </w:r>
      <w:r w:rsidRPr="008A7B91">
        <w:rPr>
          <w:rFonts w:ascii="Calibri" w:eastAsia="Calibri" w:hAnsi="Calibri"/>
          <w:b/>
          <w:bCs/>
          <w:sz w:val="20"/>
          <w:szCs w:val="20"/>
        </w:rPr>
        <w:t>progress in</w:t>
      </w:r>
      <w:r>
        <w:rPr>
          <w:rFonts w:ascii="Calibri" w:eastAsia="Calibri" w:hAnsi="Calibri"/>
          <w:b/>
          <w:bCs/>
          <w:sz w:val="20"/>
          <w:szCs w:val="20"/>
        </w:rPr>
        <w:t xml:space="preserve"> providing </w:t>
      </w:r>
      <w:r w:rsidRPr="00914521">
        <w:rPr>
          <w:rFonts w:ascii="Calibri" w:eastAsia="Calibri" w:hAnsi="Calibri"/>
          <w:b/>
          <w:sz w:val="20"/>
          <w:szCs w:val="20"/>
        </w:rPr>
        <w:t>professional learning for teaching to the recently adopted academic standards</w:t>
      </w:r>
      <w:r>
        <w:rPr>
          <w:rFonts w:ascii="Calibri" w:eastAsia="Calibri" w:hAnsi="Calibri"/>
          <w:b/>
          <w:sz w:val="20"/>
          <w:szCs w:val="20"/>
        </w:rPr>
        <w:t xml:space="preserve"> and/or curriculum frameworks identified below</w:t>
      </w:r>
      <w:r w:rsidRPr="00914521">
        <w:rPr>
          <w:rFonts w:ascii="Calibri" w:eastAsia="Calibri" w:hAnsi="Calibri"/>
          <w:b/>
          <w:sz w:val="20"/>
          <w:szCs w:val="20"/>
        </w:rPr>
        <w:t>.</w:t>
      </w:r>
      <w:r w:rsidRPr="008A7B91">
        <w:rPr>
          <w:rFonts w:ascii="Calibri" w:eastAsia="Calibri" w:hAnsi="Calibri"/>
          <w:b/>
          <w:bCs/>
          <w:sz w:val="20"/>
          <w:szCs w:val="20"/>
        </w:rPr>
        <w:t xml:space="preserve"> </w:t>
      </w:r>
    </w:p>
    <w:p w:rsidR="009971A1" w:rsidRDefault="009971A1" w:rsidP="009971A1">
      <w:pPr>
        <w:ind w:left="360"/>
        <w:contextualSpacing/>
        <w:rPr>
          <w:rFonts w:ascii="Calibri" w:eastAsia="Calibri" w:hAnsi="Calibri"/>
          <w:sz w:val="20"/>
          <w:szCs w:val="20"/>
        </w:rPr>
      </w:pPr>
      <w:r w:rsidRPr="00914521">
        <w:rPr>
          <w:rFonts w:ascii="Calibri" w:hAnsi="Calibri" w:cs="Arial"/>
          <w:bCs/>
          <w:i/>
          <w:sz w:val="20"/>
          <w:szCs w:val="20"/>
        </w:rPr>
        <w:t>Rating Scale (lowest to highest): 1 – Exploration and Research Phase; 2 – Beginning Development; 3 – Initial Implementation; 4 – Full Implementation; 5 – Full Implementation and Sustainability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926"/>
        <w:gridCol w:w="1123"/>
        <w:gridCol w:w="966"/>
        <w:gridCol w:w="938"/>
        <w:gridCol w:w="837"/>
      </w:tblGrid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E</w:t>
            </w:r>
            <w:r>
              <w:rPr>
                <w:rFonts w:ascii="Calibri" w:eastAsia="Calibri" w:hAnsi="Calibri"/>
                <w:sz w:val="20"/>
                <w:szCs w:val="20"/>
              </w:rPr>
              <w:t>LA</w:t>
            </w:r>
            <w:r w:rsidRPr="00294794">
              <w:rPr>
                <w:rFonts w:ascii="Calibri" w:eastAsia="Calibri" w:hAnsi="Calibri"/>
                <w:sz w:val="20"/>
                <w:szCs w:val="20"/>
              </w:rPr>
              <w:t xml:space="preserve"> – Common Core State Standards for E</w:t>
            </w:r>
            <w:r>
              <w:rPr>
                <w:rFonts w:ascii="Calibri" w:eastAsia="Calibri" w:hAnsi="Calibri"/>
                <w:sz w:val="20"/>
                <w:szCs w:val="20"/>
              </w:rPr>
              <w:t>LA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E</w:t>
            </w:r>
            <w:r>
              <w:rPr>
                <w:rFonts w:ascii="Calibri" w:eastAsia="Calibri" w:hAnsi="Calibri"/>
                <w:sz w:val="20"/>
                <w:szCs w:val="20"/>
              </w:rPr>
              <w:t>LD (Aligned to ELA Standards)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Mathematics – Common Core State Standards for Mathematics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Next Generation Science Standards</w:t>
            </w:r>
          </w:p>
        </w:tc>
        <w:tc>
          <w:tcPr>
            <w:tcW w:w="926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sz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History-Social Science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:rsidR="009971A1" w:rsidRPr="0044340C" w:rsidRDefault="009971A1" w:rsidP="009971A1">
      <w:pPr>
        <w:contextualSpacing/>
        <w:rPr>
          <w:rFonts w:ascii="Calibri" w:eastAsia="Calibri" w:hAnsi="Calibri"/>
          <w:sz w:val="20"/>
          <w:szCs w:val="20"/>
        </w:rPr>
      </w:pPr>
    </w:p>
    <w:p w:rsidR="009971A1" w:rsidRPr="005E32EC" w:rsidRDefault="009971A1" w:rsidP="009971A1">
      <w:pPr>
        <w:numPr>
          <w:ilvl w:val="0"/>
          <w:numId w:val="8"/>
        </w:numPr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 xml:space="preserve">Rate the LEA’s </w:t>
      </w:r>
      <w:r w:rsidRPr="008A7B91">
        <w:rPr>
          <w:rFonts w:ascii="Calibri" w:eastAsia="Calibri" w:hAnsi="Calibri"/>
          <w:b/>
          <w:bCs/>
          <w:sz w:val="20"/>
          <w:szCs w:val="20"/>
        </w:rPr>
        <w:t xml:space="preserve">progress in </w:t>
      </w:r>
      <w:r w:rsidRPr="00CB4493">
        <w:rPr>
          <w:rFonts w:ascii="Calibri" w:eastAsia="Calibri" w:hAnsi="Calibri"/>
          <w:b/>
          <w:bCs/>
          <w:sz w:val="20"/>
          <w:szCs w:val="20"/>
        </w:rPr>
        <w:t>m</w:t>
      </w:r>
      <w:r w:rsidRPr="00CB4493">
        <w:rPr>
          <w:rFonts w:ascii="Calibri" w:eastAsia="Calibri" w:hAnsi="Calibri"/>
          <w:b/>
          <w:sz w:val="20"/>
          <w:szCs w:val="20"/>
        </w:rPr>
        <w:t xml:space="preserve">aking instructional materials </w:t>
      </w:r>
      <w:r>
        <w:rPr>
          <w:rFonts w:ascii="Calibri" w:eastAsia="Calibri" w:hAnsi="Calibri"/>
          <w:b/>
          <w:sz w:val="20"/>
          <w:szCs w:val="20"/>
        </w:rPr>
        <w:t xml:space="preserve">that are </w:t>
      </w:r>
      <w:r w:rsidRPr="00CB4493">
        <w:rPr>
          <w:rFonts w:ascii="Calibri" w:eastAsia="Calibri" w:hAnsi="Calibri"/>
          <w:b/>
          <w:sz w:val="20"/>
          <w:szCs w:val="20"/>
        </w:rPr>
        <w:t xml:space="preserve">aligned to the recently adopted </w:t>
      </w:r>
      <w:r>
        <w:rPr>
          <w:rFonts w:ascii="Calibri" w:eastAsia="Calibri" w:hAnsi="Calibri"/>
          <w:b/>
          <w:sz w:val="20"/>
          <w:szCs w:val="20"/>
        </w:rPr>
        <w:t xml:space="preserve">academic </w:t>
      </w:r>
      <w:r w:rsidRPr="00CB4493">
        <w:rPr>
          <w:rFonts w:ascii="Calibri" w:eastAsia="Calibri" w:hAnsi="Calibri"/>
          <w:b/>
          <w:sz w:val="20"/>
          <w:szCs w:val="20"/>
        </w:rPr>
        <w:t>standards</w:t>
      </w:r>
      <w:r>
        <w:rPr>
          <w:rFonts w:ascii="Calibri" w:eastAsia="Calibri" w:hAnsi="Calibri"/>
          <w:b/>
          <w:sz w:val="20"/>
          <w:szCs w:val="20"/>
        </w:rPr>
        <w:t xml:space="preserve"> and/or curriculum frameworks identified below</w:t>
      </w:r>
      <w:r w:rsidRPr="00CB4493">
        <w:rPr>
          <w:rFonts w:ascii="Calibri" w:eastAsia="Calibri" w:hAnsi="Calibri"/>
          <w:b/>
          <w:sz w:val="20"/>
          <w:szCs w:val="20"/>
        </w:rPr>
        <w:t xml:space="preserve"> available in all classrooms where the subject is taught</w:t>
      </w:r>
      <w:r>
        <w:rPr>
          <w:rFonts w:ascii="Calibri" w:eastAsia="Calibri" w:hAnsi="Calibri"/>
          <w:b/>
          <w:sz w:val="20"/>
          <w:szCs w:val="20"/>
        </w:rPr>
        <w:t>.</w:t>
      </w:r>
      <w:r w:rsidRPr="008A7B91">
        <w:rPr>
          <w:rFonts w:ascii="Calibri" w:eastAsia="Calibri" w:hAnsi="Calibri"/>
          <w:b/>
          <w:bCs/>
          <w:sz w:val="20"/>
          <w:szCs w:val="20"/>
        </w:rPr>
        <w:t xml:space="preserve"> </w:t>
      </w:r>
    </w:p>
    <w:p w:rsidR="009971A1" w:rsidRDefault="009971A1" w:rsidP="009971A1">
      <w:pPr>
        <w:ind w:left="360"/>
        <w:contextualSpacing/>
        <w:rPr>
          <w:rFonts w:ascii="Calibri" w:eastAsia="Calibri" w:hAnsi="Calibri"/>
          <w:sz w:val="20"/>
          <w:szCs w:val="20"/>
        </w:rPr>
      </w:pPr>
      <w:r w:rsidRPr="00914521">
        <w:rPr>
          <w:rFonts w:ascii="Calibri" w:hAnsi="Calibri" w:cs="Arial"/>
          <w:bCs/>
          <w:i/>
          <w:sz w:val="20"/>
          <w:szCs w:val="20"/>
        </w:rPr>
        <w:t>Rating Scale (lowest to highest): 1 – Exploration and Research Phase; 2 – Beginning Development; 3 – Initial Implementation; 4 – Full Implementation; 5 – Full Implementation and Sustainability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926"/>
        <w:gridCol w:w="1123"/>
        <w:gridCol w:w="966"/>
        <w:gridCol w:w="938"/>
        <w:gridCol w:w="837"/>
      </w:tblGrid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E</w:t>
            </w:r>
            <w:r>
              <w:rPr>
                <w:rFonts w:ascii="Calibri" w:eastAsia="Calibri" w:hAnsi="Calibri"/>
                <w:sz w:val="20"/>
                <w:szCs w:val="20"/>
              </w:rPr>
              <w:t>LA</w:t>
            </w:r>
            <w:r w:rsidRPr="00294794">
              <w:rPr>
                <w:rFonts w:ascii="Calibri" w:eastAsia="Calibri" w:hAnsi="Calibri"/>
                <w:sz w:val="20"/>
                <w:szCs w:val="20"/>
              </w:rPr>
              <w:t xml:space="preserve"> – Common Core State Standards for E</w:t>
            </w:r>
            <w:r>
              <w:rPr>
                <w:rFonts w:ascii="Calibri" w:eastAsia="Calibri" w:hAnsi="Calibri"/>
                <w:sz w:val="20"/>
                <w:szCs w:val="20"/>
              </w:rPr>
              <w:t>LA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E</w:t>
            </w:r>
            <w:r>
              <w:rPr>
                <w:rFonts w:ascii="Calibri" w:eastAsia="Calibri" w:hAnsi="Calibri"/>
                <w:sz w:val="20"/>
                <w:szCs w:val="20"/>
              </w:rPr>
              <w:t>LD (Aligned to ELA Standards)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Mathematics – Common Core State Standards for Mathematics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Next Generation Science Standards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History-Social Science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:rsidR="009971A1" w:rsidRDefault="009971A1" w:rsidP="009971A1">
      <w:pPr>
        <w:contextualSpacing/>
        <w:rPr>
          <w:rFonts w:ascii="Calibri" w:eastAsia="Calibri" w:hAnsi="Calibri"/>
          <w:sz w:val="20"/>
          <w:szCs w:val="20"/>
        </w:rPr>
      </w:pPr>
    </w:p>
    <w:p w:rsidR="009971A1" w:rsidRPr="005E32EC" w:rsidRDefault="009971A1" w:rsidP="009971A1">
      <w:pPr>
        <w:numPr>
          <w:ilvl w:val="0"/>
          <w:numId w:val="8"/>
        </w:numPr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 xml:space="preserve">Rate the LEA’s </w:t>
      </w:r>
      <w:r w:rsidRPr="008A7B91">
        <w:rPr>
          <w:rFonts w:ascii="Calibri" w:eastAsia="Calibri" w:hAnsi="Calibri"/>
          <w:b/>
          <w:bCs/>
          <w:sz w:val="20"/>
          <w:szCs w:val="20"/>
        </w:rPr>
        <w:t>progress in</w:t>
      </w:r>
      <w:r>
        <w:rPr>
          <w:rFonts w:ascii="Calibri" w:eastAsia="Calibri" w:hAnsi="Calibri"/>
          <w:b/>
          <w:bCs/>
          <w:sz w:val="20"/>
          <w:szCs w:val="20"/>
        </w:rPr>
        <w:t xml:space="preserve"> implementing policies or programs to support staff in identifying areas where they can improve in delivering instruction aligned to the recently adopted academic standards </w:t>
      </w:r>
      <w:r>
        <w:rPr>
          <w:rFonts w:ascii="Calibri" w:eastAsia="Calibri" w:hAnsi="Calibri"/>
          <w:b/>
          <w:sz w:val="20"/>
          <w:szCs w:val="20"/>
        </w:rPr>
        <w:t>and/or curriculum frameworks identified below</w:t>
      </w:r>
      <w:r>
        <w:rPr>
          <w:rFonts w:ascii="Calibri" w:eastAsia="Calibri" w:hAnsi="Calibri"/>
          <w:b/>
          <w:bCs/>
          <w:sz w:val="20"/>
          <w:szCs w:val="20"/>
        </w:rPr>
        <w:t xml:space="preserve"> (e.g., collaborative time, focused classroom walkthroughs, teacher pairing)</w:t>
      </w:r>
      <w:r>
        <w:rPr>
          <w:rFonts w:ascii="Calibri" w:eastAsia="Calibri" w:hAnsi="Calibri"/>
          <w:b/>
          <w:sz w:val="20"/>
          <w:szCs w:val="20"/>
        </w:rPr>
        <w:t>.</w:t>
      </w:r>
      <w:r w:rsidRPr="008A7B91">
        <w:rPr>
          <w:rFonts w:ascii="Calibri" w:eastAsia="Calibri" w:hAnsi="Calibri"/>
          <w:b/>
          <w:bCs/>
          <w:sz w:val="20"/>
          <w:szCs w:val="20"/>
        </w:rPr>
        <w:t xml:space="preserve"> </w:t>
      </w:r>
    </w:p>
    <w:p w:rsidR="009971A1" w:rsidRDefault="009971A1" w:rsidP="009971A1">
      <w:pPr>
        <w:ind w:left="360"/>
        <w:contextualSpacing/>
        <w:rPr>
          <w:rFonts w:ascii="Calibri" w:eastAsia="Calibri" w:hAnsi="Calibri"/>
          <w:sz w:val="20"/>
          <w:szCs w:val="20"/>
        </w:rPr>
      </w:pPr>
      <w:r w:rsidRPr="00914521">
        <w:rPr>
          <w:rFonts w:ascii="Calibri" w:hAnsi="Calibri" w:cs="Arial"/>
          <w:bCs/>
          <w:i/>
          <w:sz w:val="20"/>
          <w:szCs w:val="20"/>
        </w:rPr>
        <w:t>Rating Scale (lowest to highest): 1 – Exploration and Research Phase; 2 – Beginning Development; 3 – Initial Implementation; 4 – Full Implementation; 5 – Full Implementation and Sustainability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926"/>
        <w:gridCol w:w="1123"/>
        <w:gridCol w:w="966"/>
        <w:gridCol w:w="938"/>
        <w:gridCol w:w="837"/>
      </w:tblGrid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E</w:t>
            </w:r>
            <w:r>
              <w:rPr>
                <w:rFonts w:ascii="Calibri" w:eastAsia="Calibri" w:hAnsi="Calibri"/>
                <w:sz w:val="20"/>
                <w:szCs w:val="20"/>
              </w:rPr>
              <w:t>LA</w:t>
            </w:r>
            <w:r w:rsidRPr="00294794">
              <w:rPr>
                <w:rFonts w:ascii="Calibri" w:eastAsia="Calibri" w:hAnsi="Calibri"/>
                <w:sz w:val="20"/>
                <w:szCs w:val="20"/>
              </w:rPr>
              <w:t xml:space="preserve"> – Common Core State Standards for E</w:t>
            </w:r>
            <w:r>
              <w:rPr>
                <w:rFonts w:ascii="Calibri" w:eastAsia="Calibri" w:hAnsi="Calibri"/>
                <w:sz w:val="20"/>
                <w:szCs w:val="20"/>
              </w:rPr>
              <w:t>LA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E</w:t>
            </w:r>
            <w:r>
              <w:rPr>
                <w:rFonts w:ascii="Calibri" w:eastAsia="Calibri" w:hAnsi="Calibri"/>
                <w:sz w:val="20"/>
                <w:szCs w:val="20"/>
              </w:rPr>
              <w:t>LD (Aligned to ELA Standards)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Mathematics – Common Core State Standards for Mathematics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Next Generation Science Standards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History-Social Science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:rsidR="009971A1" w:rsidRDefault="009971A1" w:rsidP="009971A1">
      <w:pPr>
        <w:contextualSpacing/>
        <w:rPr>
          <w:rFonts w:ascii="Calibri" w:eastAsia="Calibri" w:hAnsi="Calibri"/>
          <w:sz w:val="20"/>
          <w:szCs w:val="20"/>
        </w:rPr>
      </w:pPr>
    </w:p>
    <w:p w:rsidR="009971A1" w:rsidRPr="00E46846" w:rsidRDefault="009971A1" w:rsidP="009971A1">
      <w:pPr>
        <w:contextualSpacing/>
        <w:rPr>
          <w:rFonts w:ascii="Calibri" w:eastAsia="Calibri" w:hAnsi="Calibri" w:cs="Arial"/>
          <w:b/>
          <w:bCs/>
          <w:sz w:val="20"/>
          <w:szCs w:val="20"/>
        </w:rPr>
      </w:pPr>
      <w:r w:rsidRPr="00E46846">
        <w:rPr>
          <w:rFonts w:ascii="Calibri" w:eastAsia="Calibri" w:hAnsi="Calibri" w:cs="Arial"/>
          <w:b/>
          <w:bCs/>
          <w:sz w:val="20"/>
          <w:szCs w:val="20"/>
        </w:rPr>
        <w:br w:type="page"/>
      </w:r>
      <w:r w:rsidRPr="00E46846">
        <w:rPr>
          <w:rFonts w:ascii="Calibri" w:eastAsia="Calibri" w:hAnsi="Calibri" w:cs="Arial"/>
          <w:b/>
          <w:bCs/>
          <w:sz w:val="20"/>
          <w:szCs w:val="20"/>
        </w:rPr>
        <w:lastRenderedPageBreak/>
        <w:t xml:space="preserve">Other Adopted Academic Standards </w:t>
      </w:r>
    </w:p>
    <w:p w:rsidR="009971A1" w:rsidRPr="00BC7A7B" w:rsidRDefault="009971A1" w:rsidP="009971A1">
      <w:pPr>
        <w:contextualSpacing/>
        <w:rPr>
          <w:rFonts w:eastAsia="Calibri"/>
        </w:rPr>
      </w:pPr>
    </w:p>
    <w:p w:rsidR="009971A1" w:rsidRPr="005E32EC" w:rsidRDefault="009971A1" w:rsidP="009971A1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Calibri" w:hAnsi="Calibri"/>
          <w:color w:val="000000"/>
          <w:sz w:val="20"/>
        </w:rPr>
      </w:pPr>
      <w:r w:rsidRPr="00BC7A7B">
        <w:rPr>
          <w:rFonts w:ascii="Calibri" w:eastAsia="Calibri" w:hAnsi="Calibri"/>
          <w:b/>
          <w:color w:val="000000"/>
          <w:sz w:val="20"/>
        </w:rPr>
        <w:t xml:space="preserve">Rate the LEA’s progress implementing </w:t>
      </w:r>
      <w:r w:rsidRPr="007C2592">
        <w:rPr>
          <w:rFonts w:ascii="Calibri" w:eastAsia="Calibri" w:hAnsi="Calibri"/>
          <w:b/>
          <w:color w:val="000000"/>
          <w:sz w:val="20"/>
          <w:szCs w:val="20"/>
        </w:rPr>
        <w:t>each of</w:t>
      </w:r>
      <w:r w:rsidRPr="00BC7A7B">
        <w:rPr>
          <w:rFonts w:ascii="Calibri" w:eastAsia="Calibri" w:hAnsi="Calibri"/>
          <w:b/>
          <w:color w:val="000000"/>
          <w:sz w:val="20"/>
        </w:rPr>
        <w:t xml:space="preserve"> the following </w:t>
      </w:r>
      <w:r w:rsidRPr="007C2592">
        <w:rPr>
          <w:rFonts w:ascii="Calibri" w:eastAsia="Calibri" w:hAnsi="Calibri"/>
          <w:b/>
          <w:color w:val="000000"/>
          <w:sz w:val="20"/>
          <w:szCs w:val="20"/>
        </w:rPr>
        <w:t xml:space="preserve">academic standards </w:t>
      </w:r>
      <w:r>
        <w:rPr>
          <w:rFonts w:ascii="Calibri" w:eastAsia="Calibri" w:hAnsi="Calibri"/>
          <w:b/>
          <w:color w:val="000000"/>
          <w:sz w:val="20"/>
          <w:szCs w:val="20"/>
        </w:rPr>
        <w:t xml:space="preserve">adopted by the state board </w:t>
      </w:r>
      <w:r w:rsidRPr="007C2592">
        <w:rPr>
          <w:rFonts w:ascii="Calibri" w:eastAsia="Calibri" w:hAnsi="Calibri"/>
          <w:b/>
          <w:color w:val="000000"/>
          <w:sz w:val="20"/>
          <w:szCs w:val="20"/>
        </w:rPr>
        <w:t xml:space="preserve">for all students.  </w:t>
      </w:r>
    </w:p>
    <w:p w:rsidR="009971A1" w:rsidRPr="00BC7A7B" w:rsidRDefault="009971A1" w:rsidP="009971A1">
      <w:pPr>
        <w:widowControl w:val="0"/>
        <w:autoSpaceDE w:val="0"/>
        <w:autoSpaceDN w:val="0"/>
        <w:adjustRightInd w:val="0"/>
        <w:ind w:left="360"/>
        <w:contextualSpacing/>
        <w:rPr>
          <w:rFonts w:ascii="Calibri" w:eastAsia="Calibri" w:hAnsi="Calibri"/>
          <w:color w:val="000000"/>
          <w:sz w:val="20"/>
        </w:rPr>
      </w:pPr>
      <w:r w:rsidRPr="00914521">
        <w:rPr>
          <w:rFonts w:ascii="Calibri" w:hAnsi="Calibri" w:cs="Arial"/>
          <w:bCs/>
          <w:i/>
          <w:sz w:val="20"/>
          <w:szCs w:val="20"/>
        </w:rPr>
        <w:t>Rating</w:t>
      </w:r>
      <w:r w:rsidRPr="00BC7A7B">
        <w:rPr>
          <w:rFonts w:ascii="Calibri" w:hAnsi="Calibri"/>
          <w:i/>
          <w:sz w:val="20"/>
        </w:rPr>
        <w:t xml:space="preserve"> </w:t>
      </w:r>
      <w:r w:rsidRPr="00914521">
        <w:rPr>
          <w:rFonts w:ascii="Calibri" w:hAnsi="Calibri" w:cs="Arial"/>
          <w:bCs/>
          <w:i/>
          <w:sz w:val="20"/>
          <w:szCs w:val="20"/>
        </w:rPr>
        <w:t>Scale (lowest to highest): 1 – Exploration and Research Phase; 2 – Beginning Development; 3 – Initial Implementation; 4 – Full Implementation; 5 – Full Implementation and Sustainability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926"/>
        <w:gridCol w:w="1123"/>
        <w:gridCol w:w="966"/>
        <w:gridCol w:w="938"/>
        <w:gridCol w:w="837"/>
      </w:tblGrid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Career Technical Education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Health Education Content Standards</w:t>
            </w:r>
          </w:p>
        </w:tc>
        <w:tc>
          <w:tcPr>
            <w:tcW w:w="926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Physical Education Model Content Standards</w:t>
            </w:r>
          </w:p>
        </w:tc>
        <w:tc>
          <w:tcPr>
            <w:tcW w:w="926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BC7A7B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Visual and Performing Arts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9971A1" w:rsidRPr="00294794" w:rsidTr="000D4A21">
        <w:tc>
          <w:tcPr>
            <w:tcW w:w="4858" w:type="dxa"/>
            <w:shd w:val="clear" w:color="auto" w:fill="auto"/>
          </w:tcPr>
          <w:p w:rsidR="009971A1" w:rsidRPr="00294794" w:rsidRDefault="009971A1" w:rsidP="000D4A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294794">
              <w:rPr>
                <w:rFonts w:ascii="Calibri" w:eastAsia="Calibri" w:hAnsi="Calibri"/>
                <w:sz w:val="20"/>
                <w:szCs w:val="20"/>
              </w:rPr>
              <w:t>World Language</w:t>
            </w:r>
          </w:p>
        </w:tc>
        <w:tc>
          <w:tcPr>
            <w:tcW w:w="92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971A1" w:rsidRPr="00294794" w:rsidRDefault="009971A1" w:rsidP="000D4A21">
            <w:pPr>
              <w:contextualSpacing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:rsidR="009971A1" w:rsidRDefault="009971A1" w:rsidP="009971A1">
      <w:pPr>
        <w:widowControl w:val="0"/>
        <w:autoSpaceDE w:val="0"/>
        <w:autoSpaceDN w:val="0"/>
        <w:adjustRightInd w:val="0"/>
        <w:contextualSpacing/>
        <w:rPr>
          <w:rFonts w:ascii="Calibri" w:eastAsia="Calibri" w:hAnsi="Calibri"/>
          <w:color w:val="000000"/>
          <w:sz w:val="20"/>
          <w:szCs w:val="20"/>
          <w:highlight w:val="yellow"/>
        </w:rPr>
      </w:pPr>
    </w:p>
    <w:p w:rsidR="009971A1" w:rsidRPr="00914521" w:rsidRDefault="009971A1" w:rsidP="009971A1">
      <w:pPr>
        <w:widowControl w:val="0"/>
        <w:autoSpaceDE w:val="0"/>
        <w:autoSpaceDN w:val="0"/>
        <w:adjustRightInd w:val="0"/>
        <w:contextualSpacing/>
        <w:rPr>
          <w:rFonts w:ascii="Calibri" w:eastAsia="Calibri" w:hAnsi="Calibri"/>
          <w:sz w:val="20"/>
          <w:szCs w:val="20"/>
        </w:rPr>
      </w:pPr>
      <w:r w:rsidRPr="00914521">
        <w:rPr>
          <w:rFonts w:ascii="Calibri" w:eastAsia="Calibri" w:hAnsi="Calibri"/>
          <w:b/>
          <w:color w:val="000000"/>
          <w:sz w:val="20"/>
          <w:szCs w:val="20"/>
        </w:rPr>
        <w:t>Support for Teachers and Administrators</w:t>
      </w:r>
      <w:r w:rsidRPr="00914521">
        <w:rPr>
          <w:rFonts w:ascii="Calibri" w:eastAsia="Calibri" w:hAnsi="Calibri"/>
          <w:color w:val="000000"/>
          <w:sz w:val="20"/>
          <w:szCs w:val="20"/>
        </w:rPr>
        <w:t xml:space="preserve"> </w:t>
      </w:r>
    </w:p>
    <w:p w:rsidR="009971A1" w:rsidRPr="00BC7A7B" w:rsidRDefault="009971A1" w:rsidP="009971A1">
      <w:pPr>
        <w:contextualSpacing/>
        <w:rPr>
          <w:rFonts w:ascii="Calibri" w:eastAsia="Calibri" w:hAnsi="Calibri"/>
        </w:rPr>
      </w:pPr>
    </w:p>
    <w:p w:rsidR="009971A1" w:rsidRDefault="009971A1" w:rsidP="009971A1">
      <w:pPr>
        <w:numPr>
          <w:ilvl w:val="0"/>
          <w:numId w:val="8"/>
        </w:numPr>
        <w:contextualSpacing/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During the 2015-16</w:t>
      </w:r>
      <w:r w:rsidRPr="00171844">
        <w:rPr>
          <w:rFonts w:ascii="Calibri" w:eastAsia="Calibri" w:hAnsi="Calibri"/>
          <w:b/>
          <w:bCs/>
          <w:sz w:val="20"/>
          <w:szCs w:val="20"/>
        </w:rPr>
        <w:t xml:space="preserve"> sc</w:t>
      </w:r>
      <w:r>
        <w:rPr>
          <w:rFonts w:ascii="Calibri" w:eastAsia="Calibri" w:hAnsi="Calibri"/>
          <w:b/>
          <w:bCs/>
          <w:sz w:val="20"/>
          <w:szCs w:val="20"/>
        </w:rPr>
        <w:t>hool year (including summer 2015</w:t>
      </w:r>
      <w:r w:rsidRPr="00171844">
        <w:rPr>
          <w:rFonts w:ascii="Calibri" w:eastAsia="Calibri" w:hAnsi="Calibri"/>
          <w:b/>
          <w:bCs/>
          <w:sz w:val="20"/>
          <w:szCs w:val="20"/>
        </w:rPr>
        <w:t xml:space="preserve">), </w:t>
      </w:r>
      <w:r>
        <w:rPr>
          <w:rFonts w:ascii="Calibri" w:eastAsia="Calibri" w:hAnsi="Calibri"/>
          <w:b/>
          <w:bCs/>
          <w:sz w:val="20"/>
          <w:szCs w:val="20"/>
        </w:rPr>
        <w:t xml:space="preserve">rate the LEA’s success </w:t>
      </w:r>
      <w:r w:rsidRPr="00171844">
        <w:rPr>
          <w:rFonts w:ascii="Calibri" w:eastAsia="Calibri" w:hAnsi="Calibri"/>
          <w:b/>
          <w:bCs/>
          <w:sz w:val="20"/>
          <w:szCs w:val="20"/>
        </w:rPr>
        <w:t xml:space="preserve">at engaging in the following activities with teachers and school administrators? </w:t>
      </w:r>
      <w:r>
        <w:rPr>
          <w:rFonts w:ascii="Calibri" w:eastAsia="Calibri" w:hAnsi="Calibri"/>
          <w:b/>
          <w:bCs/>
          <w:sz w:val="20"/>
          <w:szCs w:val="20"/>
        </w:rPr>
        <w:t xml:space="preserve"> </w:t>
      </w:r>
    </w:p>
    <w:p w:rsidR="009971A1" w:rsidRPr="008A7B91" w:rsidRDefault="009971A1" w:rsidP="009971A1">
      <w:pPr>
        <w:ind w:left="360"/>
        <w:contextualSpacing/>
        <w:rPr>
          <w:rFonts w:ascii="Calibri" w:eastAsia="Calibri" w:hAnsi="Calibri"/>
          <w:b/>
          <w:bCs/>
          <w:sz w:val="20"/>
          <w:szCs w:val="20"/>
        </w:rPr>
      </w:pPr>
      <w:r w:rsidRPr="00914521">
        <w:rPr>
          <w:rFonts w:ascii="Calibri" w:hAnsi="Calibri" w:cs="Arial"/>
          <w:bCs/>
          <w:i/>
          <w:sz w:val="20"/>
          <w:szCs w:val="20"/>
        </w:rPr>
        <w:t>Rating</w:t>
      </w:r>
      <w:r w:rsidRPr="00BC7A7B">
        <w:rPr>
          <w:rFonts w:ascii="Calibri" w:hAnsi="Calibri"/>
          <w:i/>
          <w:sz w:val="20"/>
        </w:rPr>
        <w:t xml:space="preserve"> </w:t>
      </w:r>
      <w:r w:rsidRPr="00914521">
        <w:rPr>
          <w:rFonts w:ascii="Calibri" w:hAnsi="Calibri" w:cs="Arial"/>
          <w:bCs/>
          <w:i/>
          <w:sz w:val="20"/>
          <w:szCs w:val="20"/>
        </w:rPr>
        <w:t>Scale (lowest to highest): 1 – Exploration and Research Phase; 2 – Beginning Development; 3 – Initial Implementation; 4 – Full Implementation; 5 – Full Implementation and Sustainability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900"/>
        <w:gridCol w:w="1170"/>
        <w:gridCol w:w="990"/>
        <w:gridCol w:w="900"/>
        <w:gridCol w:w="810"/>
      </w:tblGrid>
      <w:tr w:rsidR="009971A1" w:rsidRPr="00171844" w:rsidTr="000D4A21">
        <w:tc>
          <w:tcPr>
            <w:tcW w:w="4878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9971A1" w:rsidRPr="0017184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9971A1" w:rsidRPr="0017184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9971A1" w:rsidRPr="00171844" w:rsidRDefault="009971A1" w:rsidP="000D4A21">
            <w:pPr>
              <w:contextualSpacing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</w:tr>
      <w:tr w:rsidR="009971A1" w:rsidRPr="00171844" w:rsidTr="000D4A21">
        <w:tc>
          <w:tcPr>
            <w:tcW w:w="4878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171844">
              <w:rPr>
                <w:rFonts w:ascii="Calibri" w:eastAsia="Calibri" w:hAnsi="Calibri"/>
                <w:sz w:val="20"/>
                <w:szCs w:val="20"/>
              </w:rPr>
              <w:t xml:space="preserve">Identifying the professional </w:t>
            </w:r>
            <w:r>
              <w:rPr>
                <w:rFonts w:ascii="Calibri" w:eastAsia="Calibri" w:hAnsi="Calibri"/>
                <w:sz w:val="20"/>
                <w:szCs w:val="20"/>
              </w:rPr>
              <w:t>learning</w:t>
            </w:r>
            <w:r w:rsidRPr="00171844">
              <w:rPr>
                <w:rFonts w:ascii="Calibri" w:eastAsia="Calibri" w:hAnsi="Calibri"/>
                <w:sz w:val="20"/>
                <w:szCs w:val="20"/>
              </w:rPr>
              <w:t xml:space="preserve"> needs of groups of teachers or staff as a whole </w:t>
            </w: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171844" w:rsidTr="000D4A21">
        <w:tc>
          <w:tcPr>
            <w:tcW w:w="4878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171844">
              <w:rPr>
                <w:rFonts w:ascii="Calibri" w:eastAsia="Calibri" w:hAnsi="Calibri"/>
                <w:sz w:val="20"/>
                <w:szCs w:val="20"/>
              </w:rPr>
              <w:t xml:space="preserve">Identifying the professional </w:t>
            </w:r>
            <w:r>
              <w:rPr>
                <w:rFonts w:ascii="Calibri" w:eastAsia="Calibri" w:hAnsi="Calibri"/>
                <w:sz w:val="20"/>
                <w:szCs w:val="20"/>
              </w:rPr>
              <w:t>learning</w:t>
            </w:r>
            <w:r w:rsidRPr="00171844">
              <w:rPr>
                <w:rFonts w:ascii="Calibri" w:eastAsia="Calibri" w:hAnsi="Calibri"/>
                <w:sz w:val="20"/>
                <w:szCs w:val="20"/>
              </w:rPr>
              <w:t xml:space="preserve"> needs of individual teachers </w:t>
            </w: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971A1" w:rsidRPr="00171844" w:rsidTr="000D4A21">
        <w:tc>
          <w:tcPr>
            <w:tcW w:w="4878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Providing </w:t>
            </w:r>
            <w:r w:rsidRPr="00171844">
              <w:rPr>
                <w:rFonts w:ascii="Calibri" w:eastAsia="Calibri" w:hAnsi="Calibri"/>
                <w:sz w:val="20"/>
                <w:szCs w:val="20"/>
              </w:rPr>
              <w:t>support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for teachers on</w:t>
            </w:r>
            <w:r w:rsidRPr="00171844">
              <w:rPr>
                <w:rFonts w:ascii="Calibri" w:eastAsia="Calibri" w:hAnsi="Calibri"/>
                <w:sz w:val="20"/>
                <w:szCs w:val="20"/>
              </w:rPr>
              <w:t xml:space="preserve"> the standards they have not yet mastered </w:t>
            </w: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971A1" w:rsidRPr="00171844" w:rsidRDefault="009971A1" w:rsidP="000D4A21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971A1" w:rsidRDefault="009971A1" w:rsidP="009971A1">
      <w:pPr>
        <w:contextualSpacing/>
      </w:pPr>
    </w:p>
    <w:p w:rsidR="009971A1" w:rsidRPr="003F5D1A" w:rsidRDefault="009971A1" w:rsidP="009971A1">
      <w:pPr>
        <w:contextualSpacing/>
        <w:rPr>
          <w:rFonts w:ascii="Calibri" w:hAnsi="Calibri"/>
          <w:b/>
          <w:sz w:val="20"/>
          <w:szCs w:val="20"/>
        </w:rPr>
      </w:pPr>
      <w:r w:rsidRPr="003F5D1A">
        <w:rPr>
          <w:rFonts w:ascii="Calibri" w:hAnsi="Calibri"/>
          <w:b/>
          <w:sz w:val="20"/>
          <w:szCs w:val="20"/>
        </w:rPr>
        <w:t>Optional Narrative</w:t>
      </w:r>
    </w:p>
    <w:p w:rsidR="009971A1" w:rsidRDefault="009971A1" w:rsidP="009971A1">
      <w:pPr>
        <w:contextualSpacing/>
      </w:pPr>
    </w:p>
    <w:p w:rsidR="009971A1" w:rsidRDefault="009971A1" w:rsidP="009971A1">
      <w:pPr>
        <w:numPr>
          <w:ilvl w:val="0"/>
          <w:numId w:val="8"/>
        </w:numPr>
        <w:spacing w:after="160" w:line="259" w:lineRule="auto"/>
        <w:rPr>
          <w:rFonts w:ascii="Calibri" w:eastAsia="Calibri" w:hAnsi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509270</wp:posOffset>
                </wp:positionV>
                <wp:extent cx="5528945" cy="761365"/>
                <wp:effectExtent l="9525" t="12065" r="5080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A1" w:rsidRDefault="009971A1" w:rsidP="009971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6.5pt;margin-top:40.1pt;width:435.35pt;height:5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">
                <v:textbox>
                  <w:txbxContent>
                    <w:p w:rsidR="009971A1" w:rsidRDefault="009971A1" w:rsidP="009971A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/>
          <w:b/>
          <w:bCs/>
          <w:sz w:val="20"/>
          <w:szCs w:val="20"/>
        </w:rPr>
        <w:t>Provide any additional information that the LEA believes is relevant to understanding its progress</w:t>
      </w:r>
      <w:r w:rsidRPr="00601012">
        <w:rPr>
          <w:rFonts w:ascii="Calibri" w:eastAsia="Calibri" w:hAnsi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/>
          <w:b/>
          <w:color w:val="000000"/>
          <w:sz w:val="20"/>
          <w:szCs w:val="20"/>
        </w:rPr>
        <w:t xml:space="preserve">implementing the </w:t>
      </w:r>
      <w:r w:rsidRPr="007C2592">
        <w:rPr>
          <w:rFonts w:ascii="Calibri" w:eastAsia="Calibri" w:hAnsi="Calibri"/>
          <w:b/>
          <w:color w:val="000000"/>
          <w:sz w:val="20"/>
          <w:szCs w:val="20"/>
        </w:rPr>
        <w:t xml:space="preserve">academic standards </w:t>
      </w:r>
      <w:r>
        <w:rPr>
          <w:rFonts w:ascii="Calibri" w:eastAsia="Calibri" w:hAnsi="Calibri"/>
          <w:b/>
          <w:color w:val="000000"/>
          <w:sz w:val="20"/>
          <w:szCs w:val="20"/>
        </w:rPr>
        <w:t>adopted by the state board</w:t>
      </w:r>
      <w:r>
        <w:rPr>
          <w:rFonts w:ascii="Calibri" w:eastAsia="Calibri" w:hAnsi="Calibri"/>
          <w:b/>
          <w:bCs/>
          <w:sz w:val="20"/>
          <w:szCs w:val="20"/>
        </w:rPr>
        <w:t xml:space="preserve">.  </w:t>
      </w:r>
    </w:p>
    <w:p w:rsidR="009971A1" w:rsidRDefault="009971A1" w:rsidP="009971A1"/>
    <w:p w:rsidR="009971A1" w:rsidRPr="003A1355" w:rsidRDefault="009971A1" w:rsidP="009971A1"/>
    <w:p w:rsidR="009971A1" w:rsidRPr="003A1355" w:rsidRDefault="009971A1" w:rsidP="009971A1">
      <w:pPr>
        <w:contextualSpacing/>
      </w:pPr>
    </w:p>
    <w:p w:rsidR="00575ADA" w:rsidRDefault="00575ADA" w:rsidP="00356C50">
      <w:pPr>
        <w:rPr>
          <w:i/>
        </w:rPr>
      </w:pPr>
    </w:p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Pr="00575ADA" w:rsidRDefault="00575ADA" w:rsidP="00575ADA"/>
    <w:p w:rsidR="00575ADA" w:rsidRDefault="00575ADA" w:rsidP="00575ADA"/>
    <w:p w:rsidR="00356C50" w:rsidRPr="00575ADA" w:rsidRDefault="00356C50" w:rsidP="00575ADA">
      <w:pPr>
        <w:jc w:val="right"/>
      </w:pPr>
    </w:p>
    <w:sectPr w:rsidR="00356C50" w:rsidRPr="00575ADA" w:rsidSect="008515C4">
      <w:footerReference w:type="default" r:id="rId7"/>
      <w:pgSz w:w="12240" w:h="15840" w:code="1"/>
      <w:pgMar w:top="720" w:right="1440" w:bottom="835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70" w:rsidRDefault="00312B70" w:rsidP="00312B70">
      <w:r>
        <w:separator/>
      </w:r>
    </w:p>
  </w:endnote>
  <w:endnote w:type="continuationSeparator" w:id="0">
    <w:p w:rsidR="00312B70" w:rsidRDefault="00312B70" w:rsidP="0031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70" w:rsidRPr="009971A1" w:rsidRDefault="009971A1" w:rsidP="009971A1">
    <w:pPr>
      <w:pStyle w:val="Footer"/>
      <w:jc w:val="right"/>
      <w:rPr>
        <w:i/>
        <w:sz w:val="20"/>
        <w:szCs w:val="20"/>
      </w:rPr>
    </w:pPr>
    <w:r w:rsidRPr="009971A1">
      <w:rPr>
        <w:i/>
        <w:sz w:val="20"/>
        <w:szCs w:val="20"/>
      </w:rPr>
      <w:t>As of January 10,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70" w:rsidRDefault="00312B70" w:rsidP="00312B70">
      <w:r>
        <w:separator/>
      </w:r>
    </w:p>
  </w:footnote>
  <w:footnote w:type="continuationSeparator" w:id="0">
    <w:p w:rsidR="00312B70" w:rsidRDefault="00312B70" w:rsidP="0031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CD4"/>
    <w:multiLevelType w:val="hybridMultilevel"/>
    <w:tmpl w:val="72242F86"/>
    <w:lvl w:ilvl="0" w:tplc="3B34B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3FD2"/>
    <w:multiLevelType w:val="hybridMultilevel"/>
    <w:tmpl w:val="E38AA3FA"/>
    <w:lvl w:ilvl="0" w:tplc="340409B0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937A0"/>
    <w:multiLevelType w:val="hybridMultilevel"/>
    <w:tmpl w:val="728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1F63"/>
    <w:multiLevelType w:val="hybridMultilevel"/>
    <w:tmpl w:val="93E68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12A61"/>
    <w:multiLevelType w:val="hybridMultilevel"/>
    <w:tmpl w:val="E4645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A7AB6"/>
    <w:multiLevelType w:val="hybridMultilevel"/>
    <w:tmpl w:val="294C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2B48"/>
    <w:multiLevelType w:val="hybridMultilevel"/>
    <w:tmpl w:val="6EE0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6CC1"/>
    <w:multiLevelType w:val="hybridMultilevel"/>
    <w:tmpl w:val="FAA4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06DE7"/>
    <w:multiLevelType w:val="multilevel"/>
    <w:tmpl w:val="4EAC8B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70"/>
    <w:rsid w:val="00312B70"/>
    <w:rsid w:val="00356C50"/>
    <w:rsid w:val="00575ADA"/>
    <w:rsid w:val="00601874"/>
    <w:rsid w:val="008515C4"/>
    <w:rsid w:val="008D41DB"/>
    <w:rsid w:val="009971A1"/>
    <w:rsid w:val="00D13214"/>
    <w:rsid w:val="00EA685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9EE8391-F2CB-4178-9B44-618E63E9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7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70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ACSA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Alvarez</dc:creator>
  <cp:keywords/>
  <dc:description/>
  <cp:lastModifiedBy>Martha Alvarez</cp:lastModifiedBy>
  <cp:revision>3</cp:revision>
  <dcterms:created xsi:type="dcterms:W3CDTF">2016-12-21T19:44:00Z</dcterms:created>
  <dcterms:modified xsi:type="dcterms:W3CDTF">2017-01-11T03:52:00Z</dcterms:modified>
</cp:coreProperties>
</file>